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6205" w14:textId="77777777" w:rsidR="000C7E8A" w:rsidRDefault="00A54C7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619C04E" wp14:editId="04F36275">
                <wp:simplePos x="0" y="0"/>
                <wp:positionH relativeFrom="column">
                  <wp:posOffset>5016500</wp:posOffset>
                </wp:positionH>
                <wp:positionV relativeFrom="paragraph">
                  <wp:posOffset>-698499</wp:posOffset>
                </wp:positionV>
                <wp:extent cx="1824471" cy="231197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8527" y="3669164"/>
                          <a:ext cx="1814946" cy="221672"/>
                        </a:xfrm>
                        <a:prstGeom prst="rect">
                          <a:avLst/>
                        </a:prstGeom>
                        <a:solidFill>
                          <a:srgbClr val="6456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7EAA68" w14:textId="77777777" w:rsidR="000C7E8A" w:rsidRDefault="000C7E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-698499</wp:posOffset>
                </wp:positionV>
                <wp:extent cx="1824471" cy="231197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471" cy="2311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814C81F" wp14:editId="204E07C8">
            <wp:simplePos x="0" y="0"/>
            <wp:positionH relativeFrom="column">
              <wp:posOffset>1</wp:posOffset>
            </wp:positionH>
            <wp:positionV relativeFrom="paragraph">
              <wp:posOffset>267335</wp:posOffset>
            </wp:positionV>
            <wp:extent cx="1630045" cy="45720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512E7D" w14:textId="77777777" w:rsidR="000C7E8A" w:rsidRDefault="000C7E8A"/>
    <w:p w14:paraId="0A712EA1" w14:textId="77777777" w:rsidR="000C7E8A" w:rsidRDefault="000C7E8A"/>
    <w:p w14:paraId="33169953" w14:textId="28D37824" w:rsidR="000C7E8A" w:rsidRDefault="00A54C7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   materiał prasowy, </w:t>
      </w:r>
      <w:r w:rsidR="00AD26B7">
        <w:rPr>
          <w:rFonts w:ascii="Century Gothic" w:eastAsia="Century Gothic" w:hAnsi="Century Gothic" w:cs="Century Gothic"/>
          <w:sz w:val="20"/>
          <w:szCs w:val="20"/>
        </w:rPr>
        <w:t>03.01</w:t>
      </w:r>
      <w:r>
        <w:rPr>
          <w:rFonts w:ascii="Century Gothic" w:eastAsia="Century Gothic" w:hAnsi="Century Gothic" w:cs="Century Gothic"/>
          <w:sz w:val="20"/>
          <w:szCs w:val="20"/>
        </w:rPr>
        <w:t>.202</w:t>
      </w:r>
      <w:r w:rsidR="00AD26B7"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r.</w:t>
      </w:r>
    </w:p>
    <w:p w14:paraId="0504DFE5" w14:textId="77777777" w:rsidR="000C7E8A" w:rsidRDefault="00A54C7A">
      <w:pPr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Recepta na udany związek na linii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marketer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>-agencja: efektywna komunikacja</w:t>
      </w:r>
    </w:p>
    <w:p w14:paraId="270E0665" w14:textId="77777777" w:rsidR="000C7E8A" w:rsidRDefault="00A54C7A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Według badania R3</w:t>
      </w:r>
      <w:r>
        <w:rPr>
          <w:rFonts w:ascii="Century Gothic" w:eastAsia="Century Gothic" w:hAnsi="Century Gothic" w:cs="Century Gothic"/>
          <w:b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</w:rPr>
        <w:t xml:space="preserve"> współpraca pomiędzy marką i agencją reklamową trwa średnio 3 lata. Od czego zależy jej długość? Brief4u.com spytało marketerów, co ich zdaniem najbardziej wpływa na jakość współpracy z agencją reklamową. Zdecydowana większość (68,3 proc.) wskazała na efektywną komunikację pomiędzy stronami. Banalne? Otóż, okazuje się, że nie. Blisko jedna trzecia przedstawicieli marek narzeka na utrudniony kontakt z agencją i jej niską responsywność. Budowanie długotrwałej relacji na linii </w:t>
      </w:r>
      <w:proofErr w:type="spellStart"/>
      <w:r>
        <w:rPr>
          <w:rFonts w:ascii="Century Gothic" w:eastAsia="Century Gothic" w:hAnsi="Century Gothic" w:cs="Century Gothic"/>
          <w:b/>
        </w:rPr>
        <w:t>marketer</w:t>
      </w:r>
      <w:proofErr w:type="spellEnd"/>
      <w:r>
        <w:rPr>
          <w:rFonts w:ascii="Century Gothic" w:eastAsia="Century Gothic" w:hAnsi="Century Gothic" w:cs="Century Gothic"/>
          <w:b/>
        </w:rPr>
        <w:t xml:space="preserve">-agencja to obustronne zaangażowanie. Z jakimi wyzwaniami zmagają się obie strony i co może poprawić jakość komunikacji? </w:t>
      </w:r>
    </w:p>
    <w:p w14:paraId="60181EFD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Przepływ informacji na linii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-agencja jest kluczowy w uzyskaniu pozytywnych efektów pracy. Jeśli od samego początku kontakt z agencją marketingową jest utrudniony, bardzo możliwe, że w dalszych etapach współpracy również będzie on na niskim poziomie.  Każda relacja, również ta biznesowa, budowana jest na zaufaniu, dialogu i słuchaniu się nawzajem. Klient oczekuje od agencji dostępności i coraz częściej elastyczności. Aczkolwiek, jakość zależy od obu stron. W końcu i jedna i druga strona mają wspólny cel, dlatego powinny na bieżąco planować i konsultować działania. </w:t>
      </w:r>
    </w:p>
    <w:p w14:paraId="1869C8FF" w14:textId="77777777" w:rsidR="000C7E8A" w:rsidRDefault="00A54C7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Etap pierwszy związku – budowanie zaufania</w:t>
      </w:r>
    </w:p>
    <w:p w14:paraId="2D50A67F" w14:textId="77777777" w:rsidR="000C7E8A" w:rsidRDefault="00A54C7A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- Proces przetargowy zaczyna się po stronie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. Żeby marka mogła rozpocząć satysfakcjonującą współpracę z agencją, to po stronie jej opiekuna stoi sprecyzowanie potrzeb i oczekiwań względem agencji. Co więcej,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powinni być w stanie dostarczyć najważniejsze dane, dzięki którym druga strona zrozumie produkt lub markę, dla której będzie przygotowywać koncepcje kampanii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tłumaczy Marcin Chyliński,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Founder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&amp; Co-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owner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</w:t>
      </w:r>
      <w:hyperlink r:id="rId10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 xml:space="preserve"> brief4u.com</w:t>
        </w:r>
      </w:hyperlink>
    </w:p>
    <w:p w14:paraId="0A101109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Przed rozpoczęciem współpracy z agencją marketingową, jedna i druga strona powinny wyznaczyć osoby odpowiedzialne za komunikację między sobą. Przede wszystkim powinny być to osoby odpowiedzialne za prowadzenie danego projektu, gdyż skomplikowany łańcuch podejmowania różnych działań i zarządzeń często prowadzi do konfuzji, wydłużonego czasu poświęcanego na rozwiązanie problemu i w ostatecznym rozrachunku do braku efektywnej komunikacji.</w:t>
      </w:r>
    </w:p>
    <w:p w14:paraId="256A30E8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Podczas poszukiwań agencji warto zwrócić uwagę na kilka elementów. Na przykład, struktura zatrudnienia powie nam, czy agencja posiada odpowiednie zasoby aby zrealizować duży projekt. Wąskie kompetencje sugerują specjalizację w konkretnej dziedzinie.  Natomiast otwartość agencji na dzielenie się wiedzą i edukację klienta wpływa na lepsze zrozumienie działań agencji i dobrą komunikację. W bazie </w:t>
      </w:r>
      <w:hyperlink r:id="rId11">
        <w:r>
          <w:rPr>
            <w:rFonts w:ascii="Century Gothic" w:eastAsia="Century Gothic" w:hAnsi="Century Gothic" w:cs="Century Gothic"/>
            <w:i/>
            <w:color w:val="1155CC"/>
            <w:sz w:val="20"/>
            <w:szCs w:val="20"/>
            <w:u w:val="single"/>
          </w:rPr>
          <w:t>brief4u.com</w:t>
        </w:r>
      </w:hyperlink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można znaleźć ponad 600 agencji reklamowych o różnych profilach i kompetencjach, od tych zajmujących się ATL, przez agencje PR, kończąc na tych specjalizujących się w mobile marketingu, AR czy marketingu sensorycznym. Inteligentny algorytm </w:t>
      </w:r>
      <w:hyperlink r:id="rId12">
        <w:r>
          <w:rPr>
            <w:rFonts w:ascii="Century Gothic" w:eastAsia="Century Gothic" w:hAnsi="Century Gothic" w:cs="Century Gothic"/>
            <w:i/>
            <w:color w:val="1155CC"/>
            <w:sz w:val="20"/>
            <w:szCs w:val="20"/>
            <w:u w:val="single"/>
          </w:rPr>
          <w:t>brief4u.com</w:t>
        </w:r>
      </w:hyperlink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wspomaga selekcję najlepszych agencji pod kątem kryteriów zadanych w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briefie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znacznie usprawniając tym samym poszukiwanie tej najodpowiedniejszej dla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mówi Marcin Chyliński.</w:t>
      </w:r>
    </w:p>
    <w:p w14:paraId="75E2F551" w14:textId="0ECA4078" w:rsidR="000C7E8A" w:rsidRDefault="00DC7324" w:rsidP="00DC7324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br/>
      </w:r>
      <w:r w:rsidR="00A54C7A">
        <w:rPr>
          <w:rFonts w:ascii="Century Gothic" w:eastAsia="Century Gothic" w:hAnsi="Century Gothic" w:cs="Century Gothic"/>
          <w:b/>
          <w:sz w:val="20"/>
          <w:szCs w:val="20"/>
        </w:rPr>
        <w:t>Brief marketingowy – klucz do sukcesu</w:t>
      </w:r>
    </w:p>
    <w:p w14:paraId="1EEA17BE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Większość marketerów i firm wie, że dobry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jest podstawą sukcesu i bazą dobrej komunikacji. Według raportu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BetterBriefs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Project 80 proc. marketerów twierdzi, że dobrze sobie radzi z pisaniem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ale tylko 1 na 10 agencji zgadza się z tym stwierdzeniem. 75 proc. firm z branży reklamowej uważa, że ostatnie 3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z którymi się zetknęły, były niewystarczająco dobre. Z kolei po stronie tych, którzy je pisali 52 proc. myśli, że były ok, a nawet dobre (17 proc.). Co więcej, blisko 8 na 10 marketerów wierzy, że ich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wyznaczają klarowny kierunek strategiczny, ale tylko 5 proc. agencji reklamowych się z tym zgadza. </w:t>
      </w:r>
    </w:p>
    <w:p w14:paraId="159D9C7B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 czym tkwi problem? Według pracowników agencji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briefy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ich klientów są najczęściej nieukierunkowane, niejasne, a często również nieprzemyślane.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Brakuje im jasnych celów i spodziewanych rezultatów (55 proc.), klarownej strategii i zdefiniowania problemu (34 proc.), całościowej przejrzystości (30 proc.) oraz konsekwencji (10 proc.). Tylko 7 proc. agencji reklamowych w porównaniu do 83 proc. marketerów uważa, że język użyty w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briefie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był jasny i precyzyjny.</w:t>
      </w:r>
    </w:p>
    <w:p w14:paraId="5A88E6F6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Według szacunków przedstawionych w badaniu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BetterBriefs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Project, źle przygotowany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błędnie ukierunkowane prace mogą zmarnować 1/3 budżetu przeznaczonego na marketing. To jest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game-changer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Dobry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zabezpiecza budżety, terminy i wspomaga lepszą komunikację marketerów i agencji. Dlatego słowa Johna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Wannamaker’a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w kontekście źle skonstruowanego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o tym, że połowa pieniędzy, którą wydajemy na reklamę, jest zmarnowana, a problem w tym, że nie wiemy która to połowa - są jak najbardziej aktualne. </w:t>
      </w:r>
    </w:p>
    <w:p w14:paraId="511141C2" w14:textId="77777777" w:rsidR="000C7E8A" w:rsidRDefault="00A54C7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Dla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branży marketingowej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jest podstawowym dokumentem rozpoczynającym każdy profesjonalny projekt. To podstawa udanej współpracy między przedstawicielami marek a agencjami. Badania </w:t>
      </w:r>
      <w:hyperlink r:id="rId13">
        <w:r>
          <w:rPr>
            <w:rFonts w:ascii="Century Gothic" w:eastAsia="Century Gothic" w:hAnsi="Century Gothic" w:cs="Century Gothic"/>
            <w:i/>
            <w:color w:val="1155CC"/>
            <w:sz w:val="20"/>
            <w:szCs w:val="20"/>
            <w:u w:val="single"/>
          </w:rPr>
          <w:t>brief4u.com</w:t>
        </w:r>
      </w:hyperlink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wykazały, że jednym z głównych problemów wpływających na jakość tej współpracy był brak zrozumienia marki lub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przez agencję. Dane dostarczone przez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BetterBriefs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Project zmuszają do przeanalizowania problemu na nowo. Jeżeli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nie radzą sobie z przekazaniem kierunków strategicznych i pozostałych założeń w jasny i konkretny sposób warto wykorzystać narzędzie, które będzie wspierać proces tworzenia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usprawni pracę i wpłynie na odpowiedzialną i efektywniejszą komunikację z agencją na etapie procesu przetargowego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komentuje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Marcin Chyliński,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Founder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&amp; Co-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owner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hyperlink r:id="rId14">
        <w:r>
          <w:rPr>
            <w:rFonts w:ascii="Century Gothic" w:eastAsia="Century Gothic" w:hAnsi="Century Gothic" w:cs="Century Gothic"/>
            <w:b/>
            <w:sz w:val="20"/>
            <w:szCs w:val="20"/>
          </w:rPr>
          <w:t>brief4u.com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1E1499E1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Utrudniony kontakt z agencją</w:t>
      </w:r>
    </w:p>
    <w:p w14:paraId="175FFD85" w14:textId="77777777" w:rsidR="000C7E8A" w:rsidRDefault="00A54C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„Największym problemem w komunikacji jest</w:t>
      </w:r>
      <w: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złudzenie, że ona miała miejsce” to stwierdzenie Bernarda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Showa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sprawdza się często w kwestii komunikacji na linii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-agencja. Utrudniony kontakt z agencją, niska responsywność to problemy, na które wskazuje co 3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badania </w:t>
      </w:r>
      <w:hyperlink r:id="rId15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brief4u.com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. Co więcej, blisko 7 na 10 marketerów przyznaje, że to właśnie efektywna komunikacja między stronami wpływa na jakość współpracy. Jak zatem rozmawiać, żeby się zrozumieć? </w:t>
      </w:r>
    </w:p>
    <w:p w14:paraId="588D944F" w14:textId="77777777" w:rsidR="000C7E8A" w:rsidRDefault="000C7E8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A7F6EFE" w14:textId="77777777" w:rsidR="000C7E8A" w:rsidRDefault="00A54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Istotne jest, żeby zarówno po stronie klienta, jak i agencji wyznaczyć osoby, które będą odpowiedzialne za komunikację. </w:t>
      </w:r>
    </w:p>
    <w:p w14:paraId="15D1ED61" w14:textId="77777777" w:rsidR="000C7E8A" w:rsidRDefault="000C7E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18C5351" w14:textId="77777777" w:rsidR="000C7E8A" w:rsidRDefault="00A54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Dobrze jest ustalić wspólne zasady działania i umówić się na regularne spotkania, na których agencja będzie przedstawiać tempo i rezultaty prac. </w:t>
      </w:r>
    </w:p>
    <w:p w14:paraId="6F65234A" w14:textId="77777777" w:rsidR="000C7E8A" w:rsidRDefault="000C7E8A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607B80F" w14:textId="77777777" w:rsidR="000C7E8A" w:rsidRDefault="00A54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Na potrzeby lepszej komunikacji, zainteresowane strony powinny skoncentrować się na jak najbardziej zrozumiałym języku, a tym samym na odpuszczeniu branżowego żargonu. Wyzwaniem dla agencji jest odnalezienie złotego środka, który pozwoli komunikować strategie i plany w przystępny sposób.</w:t>
      </w:r>
    </w:p>
    <w:p w14:paraId="412CD9C3" w14:textId="77777777" w:rsidR="000C7E8A" w:rsidRDefault="000C7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0AADE29" w14:textId="57778532" w:rsidR="000C7E8A" w:rsidRDefault="00A54C7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Według Johna Powella - komunikacja pracuje dla tych, którzy nad nią pracują. Dlatego, empatyczne podejście ze strony klienta i szczerość ze strony agencji potrafią zaoszczędzić wielu </w:t>
      </w:r>
      <w:r>
        <w:rPr>
          <w:rFonts w:ascii="Century Gothic" w:eastAsia="Century Gothic" w:hAnsi="Century Gothic" w:cs="Century Gothic"/>
          <w:i/>
          <w:sz w:val="20"/>
          <w:szCs w:val="20"/>
        </w:rPr>
        <w:lastRenderedPageBreak/>
        <w:t>nieporozumień. Nawet w przypadku opóźnień lepiej jest zakomunikować zaistniały problem niż zamiatać go pod dywan. Zwłoka w komunikacji rodzi irytację, frustrację i poczucie bycia lekceważonym. Dlatego agencja powinna zadbać o systematyczną komunikację, czyli informowanie na bieżąco o postępach lub ewentualnych problemach w danym projekcie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dodaje Agnieszka Surowiec, dyrektor ds. komunikacji i HR,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Intrum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1F3DA496" w14:textId="1ADFC4AB" w:rsidR="009B622E" w:rsidRDefault="009B622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588941D" w14:textId="736F53E6" w:rsidR="009B622E" w:rsidRDefault="009B622E" w:rsidP="009B622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Więcej informacji:</w:t>
      </w:r>
    </w:p>
    <w:p w14:paraId="16ACF17E" w14:textId="094796FF" w:rsidR="009B622E" w:rsidRPr="009B622E" w:rsidRDefault="009B622E" w:rsidP="009B622E">
      <w:pPr>
        <w:rPr>
          <w:rFonts w:ascii="Century Gothic" w:eastAsia="Century Gothic" w:hAnsi="Century Gothic" w:cs="Century Gothic"/>
          <w:bCs/>
          <w:sz w:val="20"/>
          <w:szCs w:val="20"/>
        </w:rPr>
      </w:pPr>
      <w:r w:rsidRPr="009B622E">
        <w:rPr>
          <w:rFonts w:ascii="Century Gothic" w:eastAsia="Century Gothic" w:hAnsi="Century Gothic" w:cs="Century Gothic"/>
          <w:bCs/>
          <w:sz w:val="20"/>
          <w:szCs w:val="20"/>
        </w:rPr>
        <w:t>Zuzanna Słoczyńska</w:t>
      </w:r>
      <w:r w:rsidRPr="009B622E">
        <w:rPr>
          <w:rFonts w:ascii="Century Gothic" w:eastAsia="Century Gothic" w:hAnsi="Century Gothic" w:cs="Century Gothic"/>
          <w:bCs/>
          <w:sz w:val="20"/>
          <w:szCs w:val="20"/>
        </w:rPr>
        <w:br/>
      </w:r>
      <w:hyperlink r:id="rId16" w:history="1">
        <w:r w:rsidRPr="009B622E">
          <w:rPr>
            <w:rStyle w:val="Hipercze"/>
            <w:rFonts w:ascii="Century Gothic" w:eastAsia="Century Gothic" w:hAnsi="Century Gothic" w:cs="Century Gothic"/>
            <w:bCs/>
            <w:sz w:val="20"/>
            <w:szCs w:val="20"/>
          </w:rPr>
          <w:t>z.sloczynska@lightscape.pl</w:t>
        </w:r>
      </w:hyperlink>
      <w:r w:rsidRPr="009B622E">
        <w:rPr>
          <w:rFonts w:ascii="Century Gothic" w:eastAsia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Cs/>
          <w:sz w:val="20"/>
          <w:szCs w:val="20"/>
        </w:rPr>
        <w:br/>
        <w:t>601 918 408</w:t>
      </w:r>
    </w:p>
    <w:sectPr w:rsidR="009B622E" w:rsidRPr="009B622E">
      <w:footerReference w:type="default" r:id="rId17"/>
      <w:pgSz w:w="11906" w:h="16838"/>
      <w:pgMar w:top="1134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556F" w14:textId="77777777" w:rsidR="007B1C17" w:rsidRDefault="007B1C17">
      <w:pPr>
        <w:spacing w:after="0" w:line="240" w:lineRule="auto"/>
      </w:pPr>
      <w:r>
        <w:separator/>
      </w:r>
    </w:p>
  </w:endnote>
  <w:endnote w:type="continuationSeparator" w:id="0">
    <w:p w14:paraId="4B10FCCE" w14:textId="77777777" w:rsidR="007B1C17" w:rsidRDefault="007B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0E02" w14:textId="77777777" w:rsidR="000C7E8A" w:rsidRDefault="00A54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CD12CF" wp14:editId="43577673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43350" cy="90952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9088" y="3330000"/>
                        <a:ext cx="3933825" cy="900000"/>
                      </a:xfrm>
                      <a:prstGeom prst="rect">
                        <a:avLst/>
                      </a:prstGeom>
                      <a:solidFill>
                        <a:srgbClr val="6456A5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F6419B" w14:textId="77777777" w:rsidR="000C7E8A" w:rsidRDefault="000C7E8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43350" cy="9095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3350" cy="90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D67FF29" wp14:editId="69B47227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85925" cy="5461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00" y="3511713"/>
                        <a:ext cx="16764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210ED" w14:textId="77777777" w:rsidR="000C7E8A" w:rsidRDefault="00A54C7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+48 881 007 030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>kontakt@brief4u.com  www.brief4u.com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85925" cy="5461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925" cy="546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A8C2D17" wp14:editId="7EAAACE9">
              <wp:simplePos x="0" y="0"/>
              <wp:positionH relativeFrom="column">
                <wp:posOffset>1473200</wp:posOffset>
              </wp:positionH>
              <wp:positionV relativeFrom="paragraph">
                <wp:posOffset>-63499</wp:posOffset>
              </wp:positionV>
              <wp:extent cx="1257300" cy="536575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2113" y="3516475"/>
                        <a:ext cx="12477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3EEFF" w14:textId="77777777" w:rsidR="000C7E8A" w:rsidRDefault="00A54C7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Tomasza Zana 38 lok. 416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 xml:space="preserve">20-601 Lublin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>NIP 517-040-25-10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-63499</wp:posOffset>
              </wp:positionV>
              <wp:extent cx="1257300" cy="53657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536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883F" w14:textId="77777777" w:rsidR="007B1C17" w:rsidRDefault="007B1C17">
      <w:pPr>
        <w:spacing w:after="0" w:line="240" w:lineRule="auto"/>
      </w:pPr>
      <w:r>
        <w:separator/>
      </w:r>
    </w:p>
  </w:footnote>
  <w:footnote w:type="continuationSeparator" w:id="0">
    <w:p w14:paraId="2335FF0D" w14:textId="77777777" w:rsidR="007B1C17" w:rsidRDefault="007B1C17">
      <w:pPr>
        <w:spacing w:after="0" w:line="240" w:lineRule="auto"/>
      </w:pPr>
      <w:r>
        <w:continuationSeparator/>
      </w:r>
    </w:p>
  </w:footnote>
  <w:footnote w:id="1">
    <w:p w14:paraId="74B85383" w14:textId="77777777" w:rsidR="000C7E8A" w:rsidRDefault="00A54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https://rthree.com/insights/the-top-40-client-agency-relationships-last-an-average-of-22-years-finds-r3-research/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32"/>
    <w:multiLevelType w:val="multilevel"/>
    <w:tmpl w:val="8DD80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8A"/>
    <w:rsid w:val="000C7E8A"/>
    <w:rsid w:val="004B7A30"/>
    <w:rsid w:val="007B1C17"/>
    <w:rsid w:val="009B622E"/>
    <w:rsid w:val="00A54C7A"/>
    <w:rsid w:val="00AD26B7"/>
    <w:rsid w:val="00C174B4"/>
    <w:rsid w:val="00D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5D8"/>
  <w15:docId w15:val="{819D1830-4A97-4F0D-97BF-B9E60E9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EB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23"/>
  </w:style>
  <w:style w:type="paragraph" w:styleId="Stopka">
    <w:name w:val="footer"/>
    <w:basedOn w:val="Normalny"/>
    <w:link w:val="Stopka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23"/>
  </w:style>
  <w:style w:type="paragraph" w:styleId="Akapitzlist">
    <w:name w:val="List Paragraph"/>
    <w:basedOn w:val="Normalny"/>
    <w:uiPriority w:val="34"/>
    <w:qFormat/>
    <w:rsid w:val="00D374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9C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B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7B9C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rief4u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ief4u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.sloczynska@lightscap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ief4u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ief4u.com/" TargetMode="External"/><Relationship Id="rId10" Type="http://schemas.openxmlformats.org/officeDocument/2006/relationships/hyperlink" Target="https://brief4u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rief4u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5rcURmVQr4rAOHaR/GeLNb4tg==">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Pamela  Tomicka</cp:lastModifiedBy>
  <cp:revision>2</cp:revision>
  <dcterms:created xsi:type="dcterms:W3CDTF">2022-01-03T10:52:00Z</dcterms:created>
  <dcterms:modified xsi:type="dcterms:W3CDTF">2022-01-03T10:52:00Z</dcterms:modified>
</cp:coreProperties>
</file>